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pPr>
      <w:r w:rsidDel="00000000" w:rsidR="00000000" w:rsidRPr="00000000">
        <w:rPr>
          <w:rtl w:val="0"/>
        </w:rPr>
      </w:r>
    </w:p>
    <w:p w:rsidR="00000000" w:rsidDel="00000000" w:rsidP="00000000" w:rsidRDefault="00000000" w:rsidRPr="00000000" w14:paraId="00000002">
      <w:pPr>
        <w:pStyle w:val="Title"/>
        <w:jc w:val="center"/>
        <w:rPr/>
      </w:pPr>
      <w:r w:rsidDel="00000000" w:rsidR="00000000" w:rsidRPr="00000000">
        <w:rPr>
          <w:rtl w:val="0"/>
        </w:rPr>
      </w:r>
    </w:p>
    <w:p w:rsidR="00000000" w:rsidDel="00000000" w:rsidP="00000000" w:rsidRDefault="00000000" w:rsidRPr="00000000" w14:paraId="00000003">
      <w:pPr>
        <w:pStyle w:val="Title"/>
        <w:jc w:val="center"/>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pStyle w:val="Title"/>
        <w:jc w:val="center"/>
        <w:rPr>
          <w:rFonts w:ascii="Phosphate Inline" w:cs="Phosphate Inline" w:eastAsia="Phosphate Inline" w:hAnsi="Phosphate Inline"/>
          <w:b w:val="0"/>
          <w:sz w:val="62"/>
          <w:szCs w:val="62"/>
        </w:rPr>
      </w:pPr>
      <w:r w:rsidDel="00000000" w:rsidR="00000000" w:rsidRPr="00000000">
        <w:rPr>
          <w:rtl w:val="0"/>
        </w:rPr>
      </w:r>
    </w:p>
    <w:p w:rsidR="00000000" w:rsidDel="00000000" w:rsidP="00000000" w:rsidRDefault="00000000" w:rsidRPr="00000000" w14:paraId="00000008">
      <w:pPr>
        <w:pStyle w:val="Title"/>
        <w:jc w:val="center"/>
        <w:rPr>
          <w:rFonts w:ascii="Shojumaru" w:cs="Shojumaru" w:eastAsia="Shojumaru" w:hAnsi="Shojumaru"/>
          <w:b w:val="0"/>
          <w:sz w:val="56"/>
          <w:szCs w:val="56"/>
        </w:rPr>
      </w:pPr>
      <w:r w:rsidDel="00000000" w:rsidR="00000000" w:rsidRPr="00000000">
        <w:rPr>
          <w:rFonts w:ascii="Shojumaru" w:cs="Shojumaru" w:eastAsia="Shojumaru" w:hAnsi="Shojumaru"/>
          <w:b w:val="0"/>
          <w:sz w:val="56"/>
          <w:szCs w:val="56"/>
          <w:rtl w:val="0"/>
        </w:rPr>
        <w:t xml:space="preserve">NUMA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rculanum" w:cs="Herculanum" w:eastAsia="Herculanum" w:hAnsi="Herculanum"/>
          <w:b w:val="0"/>
          <w:i w:val="0"/>
          <w:smallCaps w:val="0"/>
          <w:strike w:val="0"/>
          <w:color w:val="000000"/>
          <w:sz w:val="40"/>
          <w:szCs w:val="40"/>
          <w:u w:val="none"/>
          <w:shd w:fill="auto" w:val="clear"/>
          <w:vertAlign w:val="baseline"/>
        </w:rPr>
      </w:pPr>
      <w:r w:rsidDel="00000000" w:rsidR="00000000" w:rsidRPr="00000000">
        <w:rPr>
          <w:rFonts w:ascii="Calligraffitti" w:cs="Calligraffitti" w:eastAsia="Calligraffitti" w:hAnsi="Calligraffitti"/>
          <w:i w:val="0"/>
          <w:smallCaps w:val="0"/>
          <w:strike w:val="0"/>
          <w:color w:val="000000"/>
          <w:sz w:val="36"/>
          <w:szCs w:val="36"/>
          <w:u w:val="none"/>
          <w:shd w:fill="auto" w:val="clear"/>
          <w:vertAlign w:val="baseline"/>
          <w:rtl w:val="0"/>
        </w:rPr>
        <w:t xml:space="preserve">7 5 3 4</w:t>
      </w:r>
      <w:r w:rsidDel="00000000" w:rsidR="00000000" w:rsidRPr="00000000">
        <w:rPr>
          <w:rFonts w:ascii="Herculanum" w:cs="Herculanum" w:eastAsia="Herculanum" w:hAnsi="Herculanum"/>
          <w:b w:val="0"/>
          <w:i w:val="0"/>
          <w:smallCaps w:val="0"/>
          <w:strike w:val="0"/>
          <w:color w:val="000000"/>
          <w:sz w:val="40"/>
          <w:szCs w:val="40"/>
          <w:u w:val="none"/>
          <w:shd w:fill="auto" w:val="clear"/>
          <w:vertAlign w:val="baseline"/>
          <w:rtl w:val="0"/>
        </w:rPr>
        <w:t xml:space="preserve">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w:cs="Courier" w:eastAsia="Courier" w:hAnsi="Courier"/>
          <w:b w:val="0"/>
          <w:i w:val="0"/>
          <w:smallCaps w:val="0"/>
          <w:strike w:val="0"/>
          <w:color w:val="000000"/>
          <w:sz w:val="22"/>
          <w:szCs w:val="22"/>
          <w:u w:val="none"/>
          <w:shd w:fill="auto" w:val="clear"/>
          <w:vertAlign w:val="baseline"/>
        </w:rPr>
      </w:pPr>
      <w:r w:rsidDel="00000000" w:rsidR="00000000" w:rsidRPr="00000000">
        <w:rPr>
          <w:rFonts w:ascii="Courier" w:cs="Courier" w:eastAsia="Courier" w:hAnsi="Courier"/>
          <w:b w:val="0"/>
          <w:i w:val="0"/>
          <w:smallCaps w:val="0"/>
          <w:strike w:val="0"/>
          <w:color w:val="000000"/>
          <w:sz w:val="22"/>
          <w:szCs w:val="22"/>
          <w:u w:val="none"/>
          <w:shd w:fill="auto" w:val="clear"/>
          <w:vertAlign w:val="baseline"/>
          <w:rtl w:val="0"/>
        </w:rPr>
        <w:t xml:space="preserve">NUMA est un groupe de rock alternatif, new grunge. Le nom provient d'un concept visuel lié à la mythologie et à la numérologie, il est écrit "7534”. Un Sphinx hybrid est leur animal totem, qui symbolise le mystère de la vie auquel l'homme ne peut pas donner de réponses, ainsi que la fascination du pouvoir, dangereuse si elle n'est pas accompagné de modestie et de justice. Le groupe souhaite produire une musique qui représente l'unité dans la dualité de la vie, en traitant les nombreuses facettes et paradoxes ou conflits qui nous lient tous. Leurs inspirations, allant de Soundgarden à Jeff Buckley,</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Courier" w:cs="Courier" w:eastAsia="Courier" w:hAnsi="Courier"/>
          <w:b w:val="0"/>
          <w:i w:val="0"/>
          <w:smallCaps w:val="0"/>
          <w:strike w:val="0"/>
          <w:color w:val="000000"/>
          <w:sz w:val="22"/>
          <w:szCs w:val="22"/>
          <w:u w:val="none"/>
          <w:shd w:fill="auto" w:val="clear"/>
          <w:vertAlign w:val="baseline"/>
          <w:rtl w:val="0"/>
        </w:rPr>
        <w:t xml:space="preserve">incorporent des influences rock 70' et 80', jazz ou modal.</w:t>
      </w:r>
      <w:r w:rsidDel="00000000" w:rsidR="00000000" w:rsidRPr="00000000">
        <w:rPr>
          <w:rtl w:val="0"/>
        </w:rPr>
      </w:r>
    </w:p>
    <w:sectPr>
      <w:headerReference r:id="rId6" w:type="default"/>
      <w:footerReference r:id="rId7" w:type="default"/>
      <w:pgSz w:h="16838" w:w="11906"/>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Herculanum"/>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urier"/>
  <w:font w:name="Phosphate Inline"/>
  <w:font w:name="Calligraffitti">
    <w:embedRegular w:fontKey="{00000000-0000-0000-0000-000000000000}" r:id="rId5" w:subsetted="0"/>
  </w:font>
  <w:font w:name="Shojumaru">
    <w:embedRegular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Helvetica Neue" w:cs="Helvetica Neue" w:eastAsia="Helvetica Neue" w:hAnsi="Helvetica Neue"/>
      <w:b w:val="1"/>
      <w:i w:val="0"/>
      <w:smallCaps w:val="0"/>
      <w:strike w:val="0"/>
      <w:color w:val="000000"/>
      <w:sz w:val="60"/>
      <w:szCs w:val="60"/>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Calligraffitti-regular.ttf"/><Relationship Id="rId6" Type="http://schemas.openxmlformats.org/officeDocument/2006/relationships/font" Target="fonts/Shojumaru-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